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16" w:rsidRDefault="00125016" w:rsidP="00125016">
      <w:pPr>
        <w:widowControl/>
        <w:kinsoku/>
        <w:autoSpaceDE w:val="0"/>
        <w:autoSpaceDN w:val="0"/>
        <w:adjustRightInd w:val="0"/>
        <w:sectPr w:rsidR="00125016" w:rsidSect="008E765C">
          <w:pgSz w:w="12240" w:h="15840" w:code="1"/>
          <w:pgMar w:top="1418" w:right="1418" w:bottom="1418" w:left="1418" w:header="720" w:footer="720" w:gutter="0"/>
          <w:cols w:space="720"/>
          <w:noEndnote/>
        </w:sectPr>
      </w:pPr>
    </w:p>
    <w:p w:rsidR="00125016" w:rsidRDefault="00125016" w:rsidP="00125016">
      <w:pPr>
        <w:pStyle w:val="Style3"/>
        <w:kinsoku w:val="0"/>
        <w:autoSpaceDE/>
        <w:autoSpaceDN/>
        <w:adjustRightInd/>
        <w:spacing w:before="252" w:line="208" w:lineRule="auto"/>
        <w:ind w:left="4104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lastRenderedPageBreak/>
        <w:t>RESOLUCION N° TAT-339-02</w:t>
      </w:r>
    </w:p>
    <w:p w:rsidR="00125016" w:rsidRDefault="00125016" w:rsidP="00125016">
      <w:pPr>
        <w:pStyle w:val="Style3"/>
        <w:kinsoku w:val="0"/>
        <w:autoSpaceDE/>
        <w:autoSpaceDN/>
        <w:adjustRightInd/>
        <w:spacing w:before="432"/>
        <w:ind w:left="1296" w:right="72"/>
        <w:rPr>
          <w:rStyle w:val="CharacterStyle3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-2"/>
          <w:sz w:val="24"/>
          <w:szCs w:val="24"/>
          <w:lang w:val="es-ES" w:eastAsia="es-ES"/>
        </w:rPr>
        <w:t xml:space="preserve">TRIBUNAL ADMINISTRATIVO DE TRANSPORTES. </w:t>
      </w:r>
      <w:r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3"/>
          <w:spacing w:val="-4"/>
          <w:w w:val="105"/>
          <w:sz w:val="24"/>
          <w:szCs w:val="24"/>
          <w:lang w:val="es-ES" w:eastAsia="es-ES"/>
        </w:rPr>
        <w:t>cincuenta y un minutos del dos de octubre del dos mil dos.</w:t>
      </w:r>
    </w:p>
    <w:p w:rsidR="00125016" w:rsidRDefault="00125016" w:rsidP="00125016">
      <w:pPr>
        <w:pStyle w:val="Style3"/>
        <w:kinsoku w:val="0"/>
        <w:autoSpaceDE/>
        <w:autoSpaceDN/>
        <w:adjustRightInd/>
        <w:spacing w:before="252" w:after="36"/>
        <w:ind w:left="1296" w:right="72"/>
        <w:jc w:val="both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spacing w:val="-1"/>
          <w:w w:val="105"/>
          <w:sz w:val="24"/>
          <w:szCs w:val="24"/>
          <w:lang w:val="es-ES" w:eastAsia="es-ES"/>
        </w:rPr>
        <w:t xml:space="preserve">Se conoce Incidente de Suspensión de Actuaciones Administrativas contra el "Primer </w:t>
      </w:r>
      <w:r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Procedimiento Administrativo para el otorgamiento de Taxi" presentado por KAB, cédula de identidad No. ..., tramitado en este Despacho </w:t>
      </w:r>
      <w:r>
        <w:rPr>
          <w:rStyle w:val="CharacterStyle3"/>
          <w:w w:val="105"/>
          <w:sz w:val="24"/>
          <w:szCs w:val="24"/>
          <w:lang w:val="es-ES" w:eastAsia="es-ES"/>
        </w:rPr>
        <w:t xml:space="preserve">bajo el </w:t>
      </w:r>
      <w:r>
        <w:rPr>
          <w:rStyle w:val="CharacterStyle3"/>
          <w:b/>
          <w:bCs/>
          <w:sz w:val="24"/>
          <w:szCs w:val="24"/>
          <w:lang w:val="es-ES" w:eastAsia="es-ES"/>
        </w:rPr>
        <w:t>expediente administrativo número TAT-619-02.</w:t>
      </w:r>
    </w:p>
    <w:p w:rsidR="00125016" w:rsidRPr="008E765C" w:rsidRDefault="00125016" w:rsidP="00125016">
      <w:pPr>
        <w:pStyle w:val="Style3"/>
        <w:kinsoku w:val="0"/>
        <w:autoSpaceDE/>
        <w:autoSpaceDN/>
        <w:adjustRightInd/>
        <w:spacing w:line="308" w:lineRule="exact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5.3pt;margin-top:16.6pt;width:86.65pt;height:8.6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125016" w:rsidRDefault="00125016" w:rsidP="00125016">
                  <w:pPr>
                    <w:pStyle w:val="Style3"/>
                    <w:kinsoku w:val="0"/>
                    <w:autoSpaceDE/>
                    <w:autoSpaceDN/>
                    <w:adjustRightInd/>
                    <w:spacing w:line="163" w:lineRule="exact"/>
                    <w:rPr>
                      <w:rStyle w:val="CharacterStyle3"/>
                      <w:b/>
                      <w:bCs/>
                      <w:spacing w:val="-5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</w:p>
    <w:p w:rsidR="00125016" w:rsidRDefault="00125016" w:rsidP="00125016">
      <w:pPr>
        <w:pStyle w:val="Style4"/>
        <w:kinsoku w:val="0"/>
        <w:autoSpaceDE/>
        <w:autoSpaceDN/>
        <w:ind w:left="12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6"/>
          <w:lang w:val="es-ES" w:eastAsia="es-ES"/>
        </w:rPr>
        <w:t xml:space="preserve">PRIMERO.- </w:t>
      </w:r>
      <w:r>
        <w:rPr>
          <w:rStyle w:val="CharacterStyle1"/>
          <w:spacing w:val="6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2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5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2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2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rStyle w:val="CharacterStyle1"/>
          <w:spacing w:val="-4"/>
          <w:w w:val="105"/>
          <w:lang w:val="es-ES" w:eastAsia="es-ES"/>
        </w:rPr>
        <w:t>Transporte y se le otorga su competencia.</w:t>
      </w:r>
    </w:p>
    <w:p w:rsidR="00125016" w:rsidRDefault="00125016" w:rsidP="00125016">
      <w:pPr>
        <w:pStyle w:val="Style4"/>
        <w:kinsoku w:val="0"/>
        <w:autoSpaceDE/>
        <w:autoSpaceDN/>
        <w:ind w:left="1276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SEGUNDO: </w:t>
      </w:r>
      <w:r>
        <w:rPr>
          <w:rStyle w:val="CharacterStyle1"/>
          <w:spacing w:val="-1"/>
          <w:w w:val="105"/>
          <w:lang w:val="es-ES" w:eastAsia="es-ES"/>
        </w:rPr>
        <w:t xml:space="preserve">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8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8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3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2"/>
          <w:w w:val="105"/>
          <w:lang w:val="es-ES" w:eastAsia="es-ES"/>
        </w:rPr>
        <w:t>días hábiles, quien a bien lo tenga, presente las objeciones que se estime convenientes.</w:t>
      </w:r>
    </w:p>
    <w:p w:rsidR="00125016" w:rsidRDefault="00125016" w:rsidP="00125016">
      <w:pPr>
        <w:pStyle w:val="Style4"/>
        <w:kinsoku w:val="0"/>
        <w:autoSpaceDE/>
        <w:autoSpaceDN/>
        <w:spacing w:before="216"/>
        <w:ind w:left="12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TERCERO: </w:t>
      </w:r>
      <w:r>
        <w:rPr>
          <w:rStyle w:val="CharacterStyle1"/>
          <w:spacing w:val="4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8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VEHICULOS EN LA MODALIDAD DE TAXI" </w:t>
      </w:r>
      <w:r>
        <w:rPr>
          <w:rStyle w:val="CharacterStyle1"/>
          <w:spacing w:val="7"/>
          <w:w w:val="105"/>
          <w:lang w:val="es-ES" w:eastAsia="es-ES"/>
        </w:rPr>
        <w:t xml:space="preserve">Además, en el numeral 15 establece que contra el acto de adjudicación de este </w:t>
      </w:r>
      <w:r>
        <w:rPr>
          <w:rStyle w:val="CharacterStyle1"/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rStyle w:val="CharacterStyle1"/>
          <w:spacing w:val="-4"/>
          <w:w w:val="105"/>
          <w:lang w:val="es-ES" w:eastAsia="es-ES"/>
        </w:rPr>
        <w:t>acto y el de apelación ante el Tribunal Administrativo de Transporte.</w:t>
      </w:r>
    </w:p>
    <w:p w:rsidR="00125016" w:rsidRDefault="00125016" w:rsidP="00125016">
      <w:pPr>
        <w:widowControl/>
        <w:kinsoku/>
        <w:autoSpaceDE w:val="0"/>
        <w:autoSpaceDN w:val="0"/>
        <w:adjustRightInd w:val="0"/>
        <w:sectPr w:rsidR="00125016">
          <w:type w:val="continuous"/>
          <w:pgSz w:w="12240" w:h="15840"/>
          <w:pgMar w:top="600" w:right="1585" w:bottom="2430" w:left="295" w:header="720" w:footer="720" w:gutter="0"/>
          <w:cols w:space="720"/>
          <w:noEndnote/>
        </w:sectPr>
      </w:pPr>
    </w:p>
    <w:p w:rsidR="00125016" w:rsidRDefault="00125016" w:rsidP="00125016">
      <w:pPr>
        <w:pStyle w:val="Style2"/>
        <w:kinsoku w:val="0"/>
        <w:autoSpaceDE/>
        <w:autoSpaceDN/>
        <w:spacing w:befor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lastRenderedPageBreak/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Mediante escrito incoado por el </w:t>
      </w:r>
      <w:proofErr w:type="spellStart"/>
      <w:r>
        <w:rPr>
          <w:rStyle w:val="CharacterStyle1"/>
          <w:spacing w:val="-8"/>
          <w:w w:val="105"/>
          <w:lang w:val="es-ES" w:eastAsia="es-ES"/>
        </w:rPr>
        <w:t>petente</w:t>
      </w:r>
      <w:proofErr w:type="spellEnd"/>
      <w:r>
        <w:rPr>
          <w:rStyle w:val="CharacterStyle1"/>
          <w:spacing w:val="-8"/>
          <w:w w:val="105"/>
          <w:lang w:val="es-ES" w:eastAsia="es-ES"/>
        </w:rPr>
        <w:t xml:space="preserve">, presenta un incidente de suspensión de </w:t>
      </w:r>
      <w:r>
        <w:rPr>
          <w:rStyle w:val="CharacterStyle1"/>
          <w:w w:val="105"/>
          <w:lang w:val="es-ES" w:eastAsia="es-ES"/>
        </w:rPr>
        <w:t xml:space="preserve">actuaciones administrativas contra del Primer Procedimiento Administrativo para el </w:t>
      </w:r>
      <w:r>
        <w:rPr>
          <w:rStyle w:val="CharacterStyle1"/>
          <w:spacing w:val="-4"/>
          <w:w w:val="105"/>
          <w:lang w:val="es-ES" w:eastAsia="es-ES"/>
        </w:rPr>
        <w:t>otorgamiento de taxis</w:t>
      </w:r>
      <w:proofErr w:type="gramStart"/>
      <w:r>
        <w:rPr>
          <w:rStyle w:val="CharacterStyle1"/>
          <w:spacing w:val="-4"/>
          <w:w w:val="105"/>
          <w:lang w:val="es-ES" w:eastAsia="es-ES"/>
        </w:rPr>
        <w:t>..</w:t>
      </w:r>
      <w:proofErr w:type="gramEnd"/>
    </w:p>
    <w:p w:rsidR="00125016" w:rsidRDefault="00125016" w:rsidP="00125016">
      <w:pPr>
        <w:pStyle w:val="Style1"/>
        <w:kinsoku w:val="0"/>
        <w:autoSpaceDE/>
        <w:autoSpaceDN/>
        <w:adjustRightInd/>
        <w:spacing w:before="252" w:line="480" w:lineRule="auto"/>
        <w:ind w:right="2376"/>
        <w:rPr>
          <w:spacing w:val="-8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 xml:space="preserve">En los procedimientos se han observado las prescripciones legales. </w:t>
      </w:r>
    </w:p>
    <w:p w:rsidR="00125016" w:rsidRDefault="00125016" w:rsidP="00125016">
      <w:pPr>
        <w:pStyle w:val="Style1"/>
        <w:kinsoku w:val="0"/>
        <w:autoSpaceDE/>
        <w:autoSpaceDN/>
        <w:adjustRightInd/>
        <w:spacing w:before="252" w:line="480" w:lineRule="auto"/>
        <w:ind w:right="2376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Redacta la Jueza Pérez Peláez; y</w:t>
      </w:r>
    </w:p>
    <w:p w:rsidR="00125016" w:rsidRDefault="00125016" w:rsidP="00125016">
      <w:pPr>
        <w:pStyle w:val="Style1"/>
        <w:kinsoku w:val="0"/>
        <w:autoSpaceDE/>
        <w:autoSpaceDN/>
        <w:adjustRightInd/>
        <w:spacing w:before="360" w:line="206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125016" w:rsidRDefault="00125016" w:rsidP="00125016">
      <w:pPr>
        <w:pStyle w:val="Style2"/>
        <w:kinsoku w:val="0"/>
        <w:autoSpaceDE/>
        <w:autoSpaceDN/>
        <w:spacing w:before="39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LA COMPETENCIA DEL TRIBUNAL: </w:t>
      </w:r>
      <w:r>
        <w:rPr>
          <w:rStyle w:val="CharacterStyle1"/>
          <w:spacing w:val="-3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5"/>
          <w:w w:val="105"/>
          <w:lang w:val="es-ES" w:eastAsia="es-ES"/>
        </w:rPr>
        <w:t xml:space="preserve">presente recurso de apelación, sin embargo es incompetente para conocer la gestión aquí </w:t>
      </w:r>
      <w:r>
        <w:rPr>
          <w:rStyle w:val="CharacterStyle1"/>
          <w:spacing w:val="-4"/>
          <w:w w:val="105"/>
          <w:lang w:val="es-ES" w:eastAsia="es-ES"/>
        </w:rPr>
        <w:t>presentada por los siguientes hechos y fundamentos:</w:t>
      </w:r>
    </w:p>
    <w:p w:rsidR="00125016" w:rsidRDefault="00125016" w:rsidP="00125016">
      <w:pPr>
        <w:pStyle w:val="Style1"/>
        <w:kinsoku w:val="0"/>
        <w:autoSpaceDE/>
        <w:autoSpaceDN/>
        <w:adjustRightInd/>
        <w:spacing w:before="288"/>
        <w:ind w:right="1080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El artículo 181 de la Ley General de la Administración Pública, señala textualmente lo </w:t>
      </w:r>
      <w:r>
        <w:rPr>
          <w:w w:val="105"/>
          <w:lang w:val="es-ES" w:eastAsia="es-ES"/>
        </w:rPr>
        <w:t>siguiente:</w:t>
      </w:r>
    </w:p>
    <w:p w:rsidR="00125016" w:rsidRDefault="00125016" w:rsidP="00125016">
      <w:pPr>
        <w:pStyle w:val="Style2"/>
        <w:kinsoku w:val="0"/>
        <w:autoSpaceDE/>
        <w:autoSpaceDN/>
        <w:rPr>
          <w:rStyle w:val="CharacterStyle1"/>
          <w:i/>
          <w:iCs/>
          <w:spacing w:val="-2"/>
          <w:w w:val="105"/>
          <w:lang w:val="es-ES" w:eastAsia="es-ES"/>
        </w:rPr>
      </w:pPr>
      <w:r>
        <w:rPr>
          <w:rStyle w:val="CharacterStyle1"/>
          <w:i/>
          <w:iCs/>
          <w:spacing w:val="-3"/>
          <w:w w:val="105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1"/>
          <w:i/>
          <w:iCs/>
          <w:spacing w:val="-2"/>
          <w:w w:val="105"/>
          <w:lang w:val="es-ES" w:eastAsia="es-ES"/>
        </w:rPr>
        <w:t>invocada en el recurso."</w:t>
      </w:r>
    </w:p>
    <w:p w:rsidR="00125016" w:rsidRDefault="00125016" w:rsidP="00125016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8"/>
          <w:w w:val="105"/>
          <w:lang w:val="es-ES" w:eastAsia="es-ES"/>
        </w:rPr>
        <w:t xml:space="preserve">Del texto normativo, podemos extraer, que el Tribunal Administrativo de Transporte como contralor no jerárquico, no podrá conocer sobre las gestiones que versen sobre pretensiones </w:t>
      </w:r>
      <w:r>
        <w:rPr>
          <w:rStyle w:val="CharacterStyle1"/>
          <w:spacing w:val="-4"/>
          <w:w w:val="105"/>
          <w:lang w:val="es-ES" w:eastAsia="es-ES"/>
        </w:rPr>
        <w:t xml:space="preserve">incidentales que no se presenten en forma conjunta con los recursos de apelación. Estas </w:t>
      </w:r>
      <w:r>
        <w:rPr>
          <w:rStyle w:val="CharacterStyle1"/>
          <w:spacing w:val="-3"/>
          <w:w w:val="105"/>
          <w:lang w:val="es-ES" w:eastAsia="es-ES"/>
        </w:rPr>
        <w:t xml:space="preserve">deberán presentarse con todas las formalidades que exige la admisibilidad, caso contrario, </w:t>
      </w:r>
      <w:r>
        <w:rPr>
          <w:rStyle w:val="CharacterStyle1"/>
          <w:spacing w:val="-4"/>
          <w:w w:val="105"/>
          <w:lang w:val="es-ES" w:eastAsia="es-ES"/>
        </w:rPr>
        <w:t>las gestiones de este tipo deberán ser rechazadas por no encontrar arraigo en Recurso de Alzada que permita habilitar a esta sede.</w:t>
      </w:r>
    </w:p>
    <w:p w:rsidR="00125016" w:rsidRDefault="00125016" w:rsidP="00125016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1"/>
          <w:spacing w:val="2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1"/>
          <w:w w:val="105"/>
          <w:lang w:val="es-ES" w:eastAsia="es-ES"/>
        </w:rPr>
        <w:t>manifestó:</w:t>
      </w:r>
    </w:p>
    <w:p w:rsidR="00125016" w:rsidRDefault="00125016" w:rsidP="00125016">
      <w:pPr>
        <w:pStyle w:val="Style2"/>
        <w:kinsoku w:val="0"/>
        <w:autoSpaceDE/>
        <w:autoSpaceDN/>
        <w:spacing w:before="216"/>
        <w:ind w:right="1052"/>
        <w:rPr>
          <w:rStyle w:val="CharacterStyle3"/>
          <w:i/>
          <w:iCs/>
          <w:spacing w:val="-5"/>
          <w:w w:val="105"/>
          <w:sz w:val="24"/>
          <w:lang w:val="es-ES" w:eastAsia="es-ES"/>
        </w:rPr>
      </w:pPr>
      <w:r>
        <w:rPr>
          <w:rStyle w:val="CharacterStyle1"/>
          <w:i/>
          <w:iCs/>
          <w:spacing w:val="-1"/>
          <w:w w:val="105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1"/>
          <w:i/>
          <w:iCs/>
          <w:spacing w:val="-5"/>
          <w:w w:val="105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1"/>
          <w:i/>
          <w:iCs/>
          <w:spacing w:val="1"/>
          <w:w w:val="105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3"/>
          <w:i/>
          <w:iCs/>
          <w:spacing w:val="1"/>
          <w:w w:val="105"/>
          <w:sz w:val="24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3"/>
          <w:i/>
          <w:iCs/>
          <w:w w:val="105"/>
          <w:sz w:val="24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3"/>
          <w:i/>
          <w:iCs/>
          <w:spacing w:val="1"/>
          <w:w w:val="105"/>
          <w:sz w:val="24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3"/>
          <w:i/>
          <w:iCs/>
          <w:spacing w:val="-2"/>
          <w:w w:val="105"/>
          <w:sz w:val="24"/>
          <w:lang w:val="es-ES" w:eastAsia="es-ES"/>
        </w:rPr>
        <w:lastRenderedPageBreak/>
        <w:t xml:space="preserve">gubernativa. No obstante, ha de tenerse presente que nuestra competencia no viene dada </w:t>
      </w:r>
      <w:r>
        <w:rPr>
          <w:rStyle w:val="CharacterStyle3"/>
          <w:i/>
          <w:iCs/>
          <w:spacing w:val="-7"/>
          <w:w w:val="105"/>
          <w:sz w:val="24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3"/>
          <w:i/>
          <w:iCs/>
          <w:spacing w:val="1"/>
          <w:w w:val="105"/>
          <w:sz w:val="24"/>
          <w:lang w:val="es-ES" w:eastAsia="es-ES"/>
        </w:rPr>
        <w:t xml:space="preserve">apelación formal y oportunamente establecido ante la dependencia administrativa </w:t>
      </w:r>
      <w:r>
        <w:rPr>
          <w:rStyle w:val="CharacterStyle3"/>
          <w:i/>
          <w:iCs/>
          <w:spacing w:val="-2"/>
          <w:w w:val="105"/>
          <w:sz w:val="24"/>
          <w:lang w:val="es-ES" w:eastAsia="es-ES"/>
        </w:rPr>
        <w:t xml:space="preserve">correspondiente, el cual obviamente debe estar autorizado por nuestro ordenamiento jurídico, es decir el Tribunal asume la competencia revisora de cualquier acto, solamente </w:t>
      </w:r>
      <w:r>
        <w:rPr>
          <w:rStyle w:val="CharacterStyle3"/>
          <w:i/>
          <w:iCs/>
          <w:spacing w:val="-4"/>
          <w:w w:val="105"/>
          <w:sz w:val="24"/>
          <w:lang w:val="es-ES" w:eastAsia="es-ES"/>
        </w:rPr>
        <w:t xml:space="preserve">en el caso de que contra él, se hubiere interpuesto recurso de apelación, ya que nos está </w:t>
      </w:r>
      <w:r>
        <w:rPr>
          <w:rStyle w:val="CharacterStyle3"/>
          <w:i/>
          <w:iCs/>
          <w:spacing w:val="-3"/>
          <w:w w:val="105"/>
          <w:sz w:val="24"/>
          <w:lang w:val="es-ES" w:eastAsia="es-ES"/>
        </w:rPr>
        <w:t xml:space="preserve">vedado por disposición expresa de la ley o conocer de estos asuntos en forma oficiosa y </w:t>
      </w:r>
      <w:r>
        <w:rPr>
          <w:rStyle w:val="CharacterStyle3"/>
          <w:i/>
          <w:iCs/>
          <w:spacing w:val="-4"/>
          <w:w w:val="105"/>
          <w:sz w:val="24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3"/>
          <w:i/>
          <w:iCs/>
          <w:spacing w:val="-1"/>
          <w:w w:val="105"/>
          <w:sz w:val="24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3"/>
          <w:i/>
          <w:iCs/>
          <w:spacing w:val="-4"/>
          <w:w w:val="105"/>
          <w:sz w:val="24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3"/>
          <w:i/>
          <w:iCs/>
          <w:spacing w:val="-3"/>
          <w:w w:val="105"/>
          <w:sz w:val="24"/>
          <w:lang w:val="es-ES" w:eastAsia="es-ES"/>
        </w:rPr>
        <w:t xml:space="preserve">dentro del límite de las pretensiones </w:t>
      </w:r>
      <w:r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y </w:t>
      </w:r>
      <w:r>
        <w:rPr>
          <w:rStyle w:val="CharacterStyle3"/>
          <w:i/>
          <w:iCs/>
          <w:spacing w:val="-3"/>
          <w:w w:val="105"/>
          <w:sz w:val="24"/>
          <w:lang w:val="es-ES" w:eastAsia="es-ES"/>
        </w:rPr>
        <w:t xml:space="preserve">cuestiones de hecho planteadas por el recurrente, </w:t>
      </w:r>
      <w:r>
        <w:rPr>
          <w:rStyle w:val="CharacterStyle3"/>
          <w:i/>
          <w:iCs/>
          <w:spacing w:val="-5"/>
          <w:w w:val="105"/>
          <w:sz w:val="24"/>
          <w:lang w:val="es-ES" w:eastAsia="es-ES"/>
        </w:rPr>
        <w:t>pero podrá aplicar una norma no invocada en el recurso."</w:t>
      </w:r>
    </w:p>
    <w:p w:rsidR="00125016" w:rsidRPr="008E765C" w:rsidRDefault="00125016" w:rsidP="00125016">
      <w:pPr>
        <w:pStyle w:val="Style3"/>
        <w:kinsoku w:val="0"/>
        <w:autoSpaceDE/>
        <w:autoSpaceDN/>
        <w:adjustRightInd/>
        <w:spacing w:before="504" w:line="196" w:lineRule="auto"/>
        <w:ind w:left="72" w:right="1296"/>
        <w:jc w:val="both"/>
        <w:rPr>
          <w:rStyle w:val="CharacterStyle3"/>
          <w:spacing w:val="-14"/>
          <w:sz w:val="24"/>
          <w:szCs w:val="24"/>
          <w:lang w:val="es-ES" w:eastAsia="es-ES"/>
        </w:rPr>
      </w:pPr>
      <w:r w:rsidRPr="008E765C">
        <w:rPr>
          <w:rStyle w:val="CharacterStyle3"/>
          <w:spacing w:val="-11"/>
          <w:sz w:val="24"/>
          <w:szCs w:val="24"/>
          <w:lang w:val="es-ES" w:eastAsia="es-ES"/>
        </w:rPr>
        <w:t xml:space="preserve">Las normas y jurisprudencia citadas, hacen concluir que la relación de normas hecha por el </w:t>
      </w:r>
      <w:proofErr w:type="spellStart"/>
      <w:r w:rsidRPr="008E765C">
        <w:rPr>
          <w:rStyle w:val="CharacterStyle3"/>
          <w:spacing w:val="-8"/>
          <w:sz w:val="24"/>
          <w:szCs w:val="24"/>
          <w:lang w:val="es-ES" w:eastAsia="es-ES"/>
        </w:rPr>
        <w:t>incidentista</w:t>
      </w:r>
      <w:proofErr w:type="spellEnd"/>
      <w:r w:rsidRPr="008E765C">
        <w:rPr>
          <w:rStyle w:val="CharacterStyle3"/>
          <w:spacing w:val="-8"/>
          <w:sz w:val="24"/>
          <w:szCs w:val="24"/>
          <w:lang w:val="es-ES" w:eastAsia="es-ES"/>
        </w:rPr>
        <w:t xml:space="preserve"> en el escrito presentado, resultan inaplicables, razones suficientes para rechazar por improcedente el incidente presentado, siendo inapropiado pronunciarse sobre el fondo </w:t>
      </w:r>
      <w:r w:rsidRPr="008E765C">
        <w:rPr>
          <w:rStyle w:val="CharacterStyle3"/>
          <w:spacing w:val="-14"/>
          <w:sz w:val="24"/>
          <w:szCs w:val="24"/>
          <w:lang w:val="es-ES" w:eastAsia="es-ES"/>
        </w:rPr>
        <w:t>del asunto.</w:t>
      </w:r>
    </w:p>
    <w:p w:rsidR="00125016" w:rsidRPr="008E765C" w:rsidRDefault="00125016" w:rsidP="00125016">
      <w:pPr>
        <w:pStyle w:val="Style3"/>
        <w:kinsoku w:val="0"/>
        <w:autoSpaceDE/>
        <w:autoSpaceDN/>
        <w:adjustRightInd/>
        <w:spacing w:before="360" w:line="199" w:lineRule="auto"/>
        <w:ind w:left="3744"/>
        <w:rPr>
          <w:rStyle w:val="CharacterStyle3"/>
          <w:b/>
          <w:bCs/>
          <w:spacing w:val="-14"/>
          <w:w w:val="105"/>
          <w:sz w:val="24"/>
          <w:szCs w:val="24"/>
          <w:lang w:val="es-ES" w:eastAsia="es-ES"/>
        </w:rPr>
      </w:pPr>
      <w:r w:rsidRPr="008E765C">
        <w:rPr>
          <w:rStyle w:val="CharacterStyle3"/>
          <w:b/>
          <w:bCs/>
          <w:spacing w:val="-14"/>
          <w:w w:val="105"/>
          <w:sz w:val="24"/>
          <w:szCs w:val="24"/>
          <w:lang w:val="es-ES" w:eastAsia="es-ES"/>
        </w:rPr>
        <w:t>POR TANTO:</w:t>
      </w:r>
    </w:p>
    <w:p w:rsidR="00125016" w:rsidRPr="008E765C" w:rsidRDefault="00125016" w:rsidP="00125016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 w:line="275" w:lineRule="exact"/>
        <w:ind w:right="1296"/>
        <w:jc w:val="both"/>
        <w:rPr>
          <w:rStyle w:val="CharacterStyle3"/>
          <w:spacing w:val="-8"/>
          <w:sz w:val="24"/>
          <w:szCs w:val="24"/>
          <w:lang w:val="es-ES" w:eastAsia="es-ES"/>
        </w:rPr>
      </w:pPr>
      <w:r w:rsidRPr="008E765C">
        <w:rPr>
          <w:rStyle w:val="CharacterStyle3"/>
          <w:spacing w:val="-11"/>
          <w:sz w:val="24"/>
          <w:szCs w:val="24"/>
          <w:lang w:val="es-ES" w:eastAsia="es-ES"/>
        </w:rPr>
        <w:t xml:space="preserve">Se rechaza por improcedente el Incidente de suspensión de actuaciones administrativas </w:t>
      </w:r>
      <w:r w:rsidRPr="008E765C">
        <w:rPr>
          <w:rStyle w:val="CharacterStyle3"/>
          <w:spacing w:val="-7"/>
          <w:sz w:val="24"/>
          <w:szCs w:val="24"/>
          <w:lang w:val="es-ES" w:eastAsia="es-ES"/>
        </w:rPr>
        <w:t xml:space="preserve">interpuesto por el señor </w:t>
      </w:r>
      <w:r w:rsidRPr="008E765C">
        <w:rPr>
          <w:rStyle w:val="CharacterStyle3"/>
          <w:b/>
          <w:bCs/>
          <w:spacing w:val="-7"/>
          <w:w w:val="105"/>
          <w:sz w:val="24"/>
          <w:szCs w:val="24"/>
          <w:lang w:val="es-ES" w:eastAsia="es-ES"/>
        </w:rPr>
        <w:t xml:space="preserve">KAB, </w:t>
      </w:r>
      <w:r w:rsidRPr="008E765C">
        <w:rPr>
          <w:rStyle w:val="CharacterStyle3"/>
          <w:spacing w:val="-7"/>
          <w:sz w:val="24"/>
          <w:szCs w:val="24"/>
          <w:lang w:val="es-ES" w:eastAsia="es-ES"/>
        </w:rPr>
        <w:t>cédula de identidad No. …</w:t>
      </w:r>
      <w:r w:rsidRPr="008E765C">
        <w:rPr>
          <w:rStyle w:val="CharacterStyle3"/>
          <w:spacing w:val="-10"/>
          <w:sz w:val="24"/>
          <w:szCs w:val="24"/>
          <w:lang w:val="es-ES" w:eastAsia="es-ES"/>
        </w:rPr>
        <w:t xml:space="preserve">, </w:t>
      </w:r>
      <w:r w:rsidRPr="008E765C">
        <w:rPr>
          <w:rStyle w:val="CharacterStyle3"/>
          <w:b/>
          <w:bCs/>
          <w:spacing w:val="-10"/>
          <w:w w:val="105"/>
          <w:sz w:val="24"/>
          <w:szCs w:val="24"/>
          <w:lang w:val="es-ES" w:eastAsia="es-ES"/>
        </w:rPr>
        <w:t xml:space="preserve">CONTRA </w:t>
      </w:r>
      <w:r w:rsidRPr="008E765C">
        <w:rPr>
          <w:rStyle w:val="CharacterStyle3"/>
          <w:spacing w:val="-10"/>
          <w:sz w:val="24"/>
          <w:szCs w:val="24"/>
          <w:lang w:val="es-ES" w:eastAsia="es-ES"/>
        </w:rPr>
        <w:t xml:space="preserve">el Primer Procedimiento Especial Abreviado para la Concesión del </w:t>
      </w:r>
      <w:r w:rsidRPr="008E765C">
        <w:rPr>
          <w:rStyle w:val="CharacterStyle3"/>
          <w:spacing w:val="-8"/>
          <w:sz w:val="24"/>
          <w:szCs w:val="24"/>
          <w:lang w:val="es-ES" w:eastAsia="es-ES"/>
        </w:rPr>
        <w:t>Servicio de Transporte Público en la Modalidad de Vehículos Taxi.</w:t>
      </w:r>
    </w:p>
    <w:p w:rsidR="00125016" w:rsidRDefault="00125016" w:rsidP="00125016">
      <w:pPr>
        <w:pStyle w:val="Style3"/>
        <w:numPr>
          <w:ilvl w:val="0"/>
          <w:numId w:val="1"/>
        </w:numPr>
        <w:tabs>
          <w:tab w:val="clear" w:pos="360"/>
          <w:tab w:val="num" w:pos="504"/>
          <w:tab w:val="left" w:pos="4806"/>
        </w:tabs>
        <w:kinsoku w:val="0"/>
        <w:autoSpaceDE/>
        <w:autoSpaceDN/>
        <w:adjustRightInd/>
        <w:spacing w:before="288" w:line="272" w:lineRule="exact"/>
        <w:ind w:right="1296"/>
        <w:rPr>
          <w:rStyle w:val="CharacterStyle3"/>
          <w:b/>
          <w:bCs/>
          <w:spacing w:val="-11"/>
          <w:w w:val="105"/>
          <w:sz w:val="24"/>
          <w:szCs w:val="24"/>
          <w:lang w:val="es-ES" w:eastAsia="es-ES"/>
        </w:rPr>
      </w:pPr>
      <w:r w:rsidRPr="008E765C">
        <w:rPr>
          <w:rStyle w:val="CharacterStyle3"/>
          <w:spacing w:val="-1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8E765C">
        <w:rPr>
          <w:rStyle w:val="CharacterStyle3"/>
          <w:spacing w:val="-8"/>
          <w:sz w:val="24"/>
          <w:szCs w:val="24"/>
          <w:lang w:val="es-ES" w:eastAsia="es-ES"/>
        </w:rPr>
        <w:t>resolución no tiene ulterior recurso por lo que se tiene por</w:t>
      </w:r>
      <w:r w:rsidRPr="008E765C">
        <w:rPr>
          <w:rStyle w:val="CharacterStyle3"/>
          <w:i/>
          <w:iCs/>
          <w:spacing w:val="6"/>
          <w:sz w:val="24"/>
          <w:szCs w:val="24"/>
          <w:lang w:val="es-ES" w:eastAsia="es-ES"/>
        </w:rPr>
        <w:t xml:space="preserve"> agotada la vía administrativa.</w:t>
      </w:r>
      <w:r w:rsidRPr="008E765C">
        <w:rPr>
          <w:rStyle w:val="CharacterStyle3"/>
          <w:i/>
          <w:iCs/>
          <w:spacing w:val="6"/>
          <w:sz w:val="24"/>
          <w:szCs w:val="24"/>
          <w:lang w:val="es-ES" w:eastAsia="es-ES"/>
        </w:rPr>
        <w:br/>
      </w:r>
      <w:r>
        <w:rPr>
          <w:rStyle w:val="CharacterStyle3"/>
          <w:b/>
          <w:bCs/>
          <w:spacing w:val="-11"/>
          <w:w w:val="105"/>
          <w:sz w:val="24"/>
          <w:szCs w:val="24"/>
          <w:lang w:val="es-ES" w:eastAsia="es-ES"/>
        </w:rPr>
        <w:t>NOTIFIQUESE.-</w:t>
      </w:r>
    </w:p>
    <w:p w:rsidR="00125016" w:rsidRDefault="00125016" w:rsidP="00125016">
      <w:pPr>
        <w:pStyle w:val="Style3"/>
        <w:tabs>
          <w:tab w:val="left" w:pos="4806"/>
        </w:tabs>
        <w:kinsoku w:val="0"/>
        <w:autoSpaceDE/>
        <w:autoSpaceDN/>
        <w:adjustRightInd/>
        <w:spacing w:before="288" w:line="272" w:lineRule="exact"/>
        <w:ind w:left="144" w:right="1296"/>
        <w:rPr>
          <w:rStyle w:val="CharacterStyle3"/>
          <w:b/>
          <w:bCs/>
          <w:spacing w:val="-11"/>
          <w:w w:val="105"/>
          <w:sz w:val="24"/>
          <w:szCs w:val="24"/>
          <w:lang w:val="es-ES" w:eastAsia="es-ES"/>
        </w:rPr>
      </w:pPr>
    </w:p>
    <w:p w:rsidR="00125016" w:rsidRDefault="00125016" w:rsidP="00125016">
      <w:pPr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125016" w:rsidRDefault="00125016" w:rsidP="00125016">
      <w:pPr>
        <w:jc w:val="center"/>
      </w:pPr>
      <w:proofErr w:type="spellStart"/>
      <w:r>
        <w:t>Presidenta</w:t>
      </w:r>
      <w:proofErr w:type="spellEnd"/>
    </w:p>
    <w:p w:rsidR="00125016" w:rsidRDefault="00125016" w:rsidP="00125016"/>
    <w:p w:rsidR="00125016" w:rsidRDefault="00125016" w:rsidP="00125016"/>
    <w:p w:rsidR="00125016" w:rsidRDefault="00125016" w:rsidP="00125016"/>
    <w:p w:rsidR="00125016" w:rsidRDefault="00125016" w:rsidP="00125016"/>
    <w:p w:rsidR="00125016" w:rsidRDefault="00125016" w:rsidP="00125016"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              </w:t>
      </w:r>
    </w:p>
    <w:p w:rsidR="00125016" w:rsidRDefault="00125016" w:rsidP="00125016">
      <w:pPr>
        <w:ind w:firstLine="720"/>
        <w:rPr>
          <w:b/>
          <w:iCs/>
          <w:spacing w:val="-5"/>
          <w:lang w:val="es-ES" w:eastAsia="es-ES"/>
        </w:r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125016" w:rsidRDefault="00125016" w:rsidP="00125016">
      <w:pPr>
        <w:rPr>
          <w:lang w:val="es-CR" w:eastAsia="en-US"/>
        </w:rPr>
      </w:pPr>
    </w:p>
    <w:p w:rsidR="00125016" w:rsidRPr="00FA117A" w:rsidRDefault="00125016" w:rsidP="00125016">
      <w:pPr>
        <w:pStyle w:val="Style3"/>
        <w:kinsoku w:val="0"/>
        <w:autoSpaceDE/>
        <w:autoSpaceDN/>
        <w:adjustRightInd/>
        <w:spacing w:before="216" w:beforeAutospacing="1"/>
        <w:ind w:left="434" w:right="1144"/>
        <w:rPr>
          <w:rStyle w:val="CharacterStyle5"/>
          <w:b/>
          <w:bCs/>
          <w:spacing w:val="-10"/>
          <w:sz w:val="25"/>
          <w:szCs w:val="25"/>
          <w:lang w:val="es-ES" w:eastAsia="es-ES"/>
        </w:rPr>
      </w:pPr>
    </w:p>
    <w:p w:rsidR="00125016" w:rsidRDefault="00125016" w:rsidP="00125016">
      <w:pPr>
        <w:pStyle w:val="Style3"/>
        <w:tabs>
          <w:tab w:val="left" w:pos="4806"/>
        </w:tabs>
        <w:kinsoku w:val="0"/>
        <w:autoSpaceDE/>
        <w:autoSpaceDN/>
        <w:adjustRightInd/>
        <w:spacing w:before="288" w:line="272" w:lineRule="exact"/>
        <w:ind w:left="144" w:right="1296"/>
        <w:rPr>
          <w:rStyle w:val="CharacterStyle3"/>
          <w:b/>
          <w:bCs/>
          <w:spacing w:val="-11"/>
          <w:w w:val="105"/>
          <w:sz w:val="24"/>
          <w:szCs w:val="24"/>
          <w:lang w:val="es-ES" w:eastAsia="es-ES"/>
        </w:rPr>
      </w:pPr>
    </w:p>
    <w:p w:rsidR="00F07A18" w:rsidRDefault="00F07A18"/>
    <w:sectPr w:rsidR="00F07A18">
      <w:pgSz w:w="12240" w:h="15840"/>
      <w:pgMar w:top="3945" w:right="89" w:bottom="430" w:left="7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42D"/>
    <w:multiLevelType w:val="singleLevel"/>
    <w:tmpl w:val="17B646C0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ascii="Garamond" w:hAnsi="Garamond" w:cs="Garamond"/>
        <w:snapToGrid/>
        <w:spacing w:val="-11"/>
        <w:sz w:val="27"/>
        <w:szCs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016"/>
    <w:rsid w:val="00125016"/>
    <w:rsid w:val="003819BC"/>
    <w:rsid w:val="003D5801"/>
    <w:rsid w:val="00605BD2"/>
    <w:rsid w:val="006A5EC0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1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2501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125016"/>
    <w:pPr>
      <w:kinsoku/>
      <w:autoSpaceDE w:val="0"/>
      <w:autoSpaceDN w:val="0"/>
      <w:spacing w:before="288"/>
      <w:ind w:right="1080"/>
      <w:jc w:val="both"/>
    </w:pPr>
  </w:style>
  <w:style w:type="paragraph" w:customStyle="1" w:styleId="Style3">
    <w:name w:val="Style 3"/>
    <w:basedOn w:val="Normal"/>
    <w:uiPriority w:val="99"/>
    <w:rsid w:val="00125016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125016"/>
    <w:rPr>
      <w:sz w:val="24"/>
    </w:rPr>
  </w:style>
  <w:style w:type="character" w:customStyle="1" w:styleId="CharacterStyle3">
    <w:name w:val="Character Style 3"/>
    <w:uiPriority w:val="99"/>
    <w:rsid w:val="00125016"/>
    <w:rPr>
      <w:sz w:val="20"/>
    </w:rPr>
  </w:style>
  <w:style w:type="paragraph" w:customStyle="1" w:styleId="Style4">
    <w:name w:val="Style 4"/>
    <w:basedOn w:val="Normal"/>
    <w:uiPriority w:val="99"/>
    <w:rsid w:val="00125016"/>
    <w:pPr>
      <w:kinsoku/>
      <w:autoSpaceDE w:val="0"/>
      <w:autoSpaceDN w:val="0"/>
      <w:spacing w:before="288"/>
      <w:ind w:right="144"/>
      <w:jc w:val="both"/>
    </w:pPr>
  </w:style>
  <w:style w:type="character" w:customStyle="1" w:styleId="CharacterStyle5">
    <w:name w:val="Character Style 5"/>
    <w:uiPriority w:val="99"/>
    <w:rsid w:val="0012501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2013-05-17T17:19:00Z</dcterms:created>
  <dcterms:modified xsi:type="dcterms:W3CDTF">2013-05-17T17:19:00Z</dcterms:modified>
</cp:coreProperties>
</file>